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523" w:rsidRPr="00946F35" w:rsidRDefault="00C37523" w:rsidP="00A27500">
      <w:pPr>
        <w:spacing w:after="0" w:line="240" w:lineRule="auto"/>
        <w:jc w:val="center"/>
        <w:rPr>
          <w:vertAlign w:val="superscript"/>
          <w:lang w:val="ru-RU"/>
        </w:rPr>
      </w:pPr>
      <w:r>
        <w:t>Перелік депозитарних установ, які здійснюють депозитарну діяльність на території проведення антитерористичної операції та не вчинили дії щодо тимчасової зміни місцезнаходження на іншу територію України поза межами Окремої території, території Автономної Республіки Крим та міста Севастополя</w:t>
      </w:r>
      <w:r w:rsidR="00946F35" w:rsidRPr="00946F35">
        <w:rPr>
          <w:vertAlign w:val="superscript"/>
          <w:lang w:val="ru-RU"/>
        </w:rPr>
        <w:t>*</w:t>
      </w:r>
    </w:p>
    <w:p w:rsidR="00A27500" w:rsidRPr="00C37523" w:rsidRDefault="00A27500" w:rsidP="00A27500">
      <w:pPr>
        <w:spacing w:after="0" w:line="240" w:lineRule="auto"/>
        <w:jc w:val="center"/>
      </w:pPr>
    </w:p>
    <w:tbl>
      <w:tblPr>
        <w:tblW w:w="5000" w:type="pct"/>
        <w:tblBorders>
          <w:top w:val="outset" w:sz="6" w:space="0" w:color="auto"/>
          <w:left w:val="outset" w:sz="6" w:space="0" w:color="auto"/>
          <w:bottom w:val="outset" w:sz="6" w:space="0" w:color="auto"/>
          <w:right w:val="outset" w:sz="6" w:space="0" w:color="auto"/>
        </w:tblBorders>
        <w:shd w:val="clear" w:color="auto" w:fill="E4E5E6"/>
        <w:tblCellMar>
          <w:left w:w="0" w:type="dxa"/>
          <w:right w:w="0" w:type="dxa"/>
        </w:tblCellMar>
        <w:tblLook w:val="04A0"/>
      </w:tblPr>
      <w:tblGrid>
        <w:gridCol w:w="1635"/>
        <w:gridCol w:w="2712"/>
        <w:gridCol w:w="1436"/>
        <w:gridCol w:w="2511"/>
        <w:gridCol w:w="2097"/>
      </w:tblGrid>
      <w:tr w:rsidR="00C37523" w:rsidRPr="00C37523" w:rsidTr="00C37523">
        <w:tc>
          <w:tcPr>
            <w:tcW w:w="1114"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jc w:val="center"/>
              <w:rPr>
                <w:rFonts w:ascii="Arial" w:eastAsia="Times New Roman" w:hAnsi="Arial" w:cs="Arial"/>
                <w:color w:val="000000"/>
                <w:sz w:val="16"/>
                <w:szCs w:val="16"/>
                <w:lang w:eastAsia="uk-UA"/>
              </w:rPr>
            </w:pPr>
            <w:r w:rsidRPr="00C37523">
              <w:rPr>
                <w:rFonts w:ascii="Arial" w:eastAsia="Times New Roman" w:hAnsi="Arial" w:cs="Arial"/>
                <w:b/>
                <w:bCs/>
                <w:color w:val="000000"/>
                <w:sz w:val="16"/>
                <w:lang w:eastAsia="uk-UA"/>
              </w:rPr>
              <w:t>Код за ЄДРПОУ</w:t>
            </w:r>
          </w:p>
        </w:tc>
        <w:tc>
          <w:tcPr>
            <w:tcW w:w="242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jc w:val="center"/>
              <w:rPr>
                <w:rFonts w:ascii="Arial" w:eastAsia="Times New Roman" w:hAnsi="Arial" w:cs="Arial"/>
                <w:color w:val="000000"/>
                <w:sz w:val="16"/>
                <w:szCs w:val="16"/>
                <w:lang w:eastAsia="uk-UA"/>
              </w:rPr>
            </w:pPr>
            <w:r w:rsidRPr="00C37523">
              <w:rPr>
                <w:rFonts w:ascii="Arial" w:eastAsia="Times New Roman" w:hAnsi="Arial" w:cs="Arial"/>
                <w:b/>
                <w:bCs/>
                <w:color w:val="000000"/>
                <w:sz w:val="16"/>
                <w:lang w:eastAsia="uk-UA"/>
              </w:rPr>
              <w:t>Найменування депозитарної установи</w:t>
            </w:r>
          </w:p>
        </w:tc>
        <w:tc>
          <w:tcPr>
            <w:tcW w:w="1002"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jc w:val="center"/>
              <w:rPr>
                <w:rFonts w:ascii="Arial" w:eastAsia="Times New Roman" w:hAnsi="Arial" w:cs="Arial"/>
                <w:color w:val="000000"/>
                <w:sz w:val="16"/>
                <w:szCs w:val="16"/>
                <w:lang w:eastAsia="uk-UA"/>
              </w:rPr>
            </w:pPr>
            <w:r w:rsidRPr="00C37523">
              <w:rPr>
                <w:rFonts w:ascii="Arial" w:eastAsia="Times New Roman" w:hAnsi="Arial" w:cs="Arial"/>
                <w:b/>
                <w:bCs/>
                <w:color w:val="000000"/>
                <w:sz w:val="16"/>
                <w:lang w:eastAsia="uk-UA"/>
              </w:rPr>
              <w:t>Код МДО</w:t>
            </w:r>
          </w:p>
        </w:tc>
        <w:tc>
          <w:tcPr>
            <w:tcW w:w="217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jc w:val="center"/>
              <w:rPr>
                <w:rFonts w:ascii="Arial" w:eastAsia="Times New Roman" w:hAnsi="Arial" w:cs="Arial"/>
                <w:color w:val="000000"/>
                <w:sz w:val="16"/>
                <w:szCs w:val="16"/>
                <w:lang w:eastAsia="uk-UA"/>
              </w:rPr>
            </w:pPr>
            <w:r w:rsidRPr="00C37523">
              <w:rPr>
                <w:rFonts w:ascii="Arial" w:eastAsia="Times New Roman" w:hAnsi="Arial" w:cs="Arial"/>
                <w:b/>
                <w:bCs/>
                <w:color w:val="000000"/>
                <w:sz w:val="16"/>
                <w:lang w:eastAsia="uk-UA"/>
              </w:rPr>
              <w:t>Місцезнаходження</w:t>
            </w:r>
          </w:p>
        </w:tc>
        <w:tc>
          <w:tcPr>
            <w:tcW w:w="1878"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jc w:val="center"/>
              <w:rPr>
                <w:rFonts w:ascii="Arial" w:eastAsia="Times New Roman" w:hAnsi="Arial" w:cs="Arial"/>
                <w:color w:val="000000"/>
                <w:sz w:val="16"/>
                <w:szCs w:val="16"/>
                <w:lang w:eastAsia="uk-UA"/>
              </w:rPr>
            </w:pPr>
            <w:r w:rsidRPr="00C37523">
              <w:rPr>
                <w:rFonts w:ascii="Arial" w:eastAsia="Times New Roman" w:hAnsi="Arial" w:cs="Arial"/>
                <w:b/>
                <w:bCs/>
                <w:color w:val="000000"/>
                <w:sz w:val="16"/>
                <w:lang w:eastAsia="uk-UA"/>
              </w:rPr>
              <w:t>Примітки</w:t>
            </w:r>
          </w:p>
        </w:tc>
      </w:tr>
      <w:tr w:rsidR="00C37523" w:rsidRPr="00C37523" w:rsidTr="00C37523">
        <w:tc>
          <w:tcPr>
            <w:tcW w:w="1114"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19358767</w:t>
            </w:r>
          </w:p>
        </w:tc>
        <w:tc>
          <w:tcPr>
            <w:tcW w:w="242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ПАТ «КБ «ПІВДЕНКОМБАНК»</w:t>
            </w:r>
          </w:p>
        </w:tc>
        <w:tc>
          <w:tcPr>
            <w:tcW w:w="1002"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300525</w:t>
            </w:r>
          </w:p>
        </w:tc>
        <w:tc>
          <w:tcPr>
            <w:tcW w:w="217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83015, м. Донецьк, пр. Ватутіна, 33-а</w:t>
            </w:r>
          </w:p>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 </w:t>
            </w:r>
          </w:p>
        </w:tc>
        <w:tc>
          <w:tcPr>
            <w:tcW w:w="1878"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Анульовано ліцензію відповідно до наказу Комісії від 07.10.2014 № 241 (у зв’язку з надходженням постанови НБУ про відкликання банківської ліцензії)</w:t>
            </w:r>
          </w:p>
        </w:tc>
      </w:tr>
      <w:tr w:rsidR="00C37523" w:rsidRPr="00C37523" w:rsidTr="00C37523">
        <w:tc>
          <w:tcPr>
            <w:tcW w:w="1114"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24191588</w:t>
            </w:r>
          </w:p>
        </w:tc>
        <w:tc>
          <w:tcPr>
            <w:tcW w:w="242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ПАТ «УКРАЇНСЬКИЙ КОМУНАЛЬНИЙ БАНК»</w:t>
            </w:r>
          </w:p>
        </w:tc>
        <w:tc>
          <w:tcPr>
            <w:tcW w:w="1002"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300905</w:t>
            </w:r>
          </w:p>
        </w:tc>
        <w:tc>
          <w:tcPr>
            <w:tcW w:w="217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91055, м. Луганськ, вул. Шевченка В.В., 18-а</w:t>
            </w:r>
          </w:p>
        </w:tc>
        <w:tc>
          <w:tcPr>
            <w:tcW w:w="1878"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 </w:t>
            </w:r>
          </w:p>
        </w:tc>
      </w:tr>
      <w:tr w:rsidR="00C37523" w:rsidRPr="00C37523" w:rsidTr="00C37523">
        <w:tc>
          <w:tcPr>
            <w:tcW w:w="1114"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23478833</w:t>
            </w:r>
          </w:p>
        </w:tc>
        <w:tc>
          <w:tcPr>
            <w:tcW w:w="242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ПАТ «СХІДНО-ПРОМИСЛОВИЙ КОМЕРЦІЙНИЙ БАНК»</w:t>
            </w:r>
          </w:p>
        </w:tc>
        <w:tc>
          <w:tcPr>
            <w:tcW w:w="1002"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301184</w:t>
            </w:r>
          </w:p>
        </w:tc>
        <w:tc>
          <w:tcPr>
            <w:tcW w:w="217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 xml:space="preserve">91047, м. Луганськ, вул. 26 </w:t>
            </w:r>
            <w:proofErr w:type="spellStart"/>
            <w:r w:rsidRPr="00C37523">
              <w:rPr>
                <w:rFonts w:ascii="Arial" w:eastAsia="Times New Roman" w:hAnsi="Arial" w:cs="Arial"/>
                <w:color w:val="000000"/>
                <w:sz w:val="16"/>
                <w:szCs w:val="16"/>
                <w:lang w:eastAsia="uk-UA"/>
              </w:rPr>
              <w:t>Бакінскіх</w:t>
            </w:r>
            <w:proofErr w:type="spellEnd"/>
            <w:r w:rsidRPr="00C37523">
              <w:rPr>
                <w:rFonts w:ascii="Arial" w:eastAsia="Times New Roman" w:hAnsi="Arial" w:cs="Arial"/>
                <w:color w:val="000000"/>
                <w:sz w:val="16"/>
                <w:szCs w:val="16"/>
                <w:lang w:eastAsia="uk-UA"/>
              </w:rPr>
              <w:t xml:space="preserve"> Комісарів, 155</w:t>
            </w:r>
          </w:p>
        </w:tc>
        <w:tc>
          <w:tcPr>
            <w:tcW w:w="1878"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 </w:t>
            </w:r>
          </w:p>
        </w:tc>
      </w:tr>
      <w:tr w:rsidR="00C37523" w:rsidRPr="00C37523" w:rsidTr="00C37523">
        <w:tc>
          <w:tcPr>
            <w:tcW w:w="1114"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26444836</w:t>
            </w:r>
          </w:p>
        </w:tc>
        <w:tc>
          <w:tcPr>
            <w:tcW w:w="242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ПАТ «Комерційний Банк «УКРАЇНСЬКИЙ ФІНАНСОВИЙ СВІТ»</w:t>
            </w:r>
          </w:p>
        </w:tc>
        <w:tc>
          <w:tcPr>
            <w:tcW w:w="1002"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302083</w:t>
            </w:r>
          </w:p>
        </w:tc>
        <w:tc>
          <w:tcPr>
            <w:tcW w:w="217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83050, м. Донецьк, пр. Миру, 5-б</w:t>
            </w:r>
          </w:p>
        </w:tc>
        <w:tc>
          <w:tcPr>
            <w:tcW w:w="1878"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Анульовано ліцензію відповідно до рішення Комісії від 02.12.2014 № 1623 (у зв’язку з надходженням постанови НБУ про відкликання банківської ліцензії)</w:t>
            </w:r>
          </w:p>
        </w:tc>
      </w:tr>
      <w:tr w:rsidR="00C37523" w:rsidRPr="00C37523" w:rsidTr="00C37523">
        <w:tc>
          <w:tcPr>
            <w:tcW w:w="1114"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21842884</w:t>
            </w:r>
          </w:p>
        </w:tc>
        <w:tc>
          <w:tcPr>
            <w:tcW w:w="242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ТОВ «ЛФЦ-БРОК»</w:t>
            </w:r>
          </w:p>
        </w:tc>
        <w:tc>
          <w:tcPr>
            <w:tcW w:w="1002"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402453</w:t>
            </w:r>
          </w:p>
        </w:tc>
        <w:tc>
          <w:tcPr>
            <w:tcW w:w="217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 xml:space="preserve">91016, м. Луганськ, вул. </w:t>
            </w:r>
            <w:proofErr w:type="spellStart"/>
            <w:r w:rsidRPr="00C37523">
              <w:rPr>
                <w:rFonts w:ascii="Arial" w:eastAsia="Times New Roman" w:hAnsi="Arial" w:cs="Arial"/>
                <w:color w:val="000000"/>
                <w:sz w:val="16"/>
                <w:szCs w:val="16"/>
                <w:lang w:eastAsia="uk-UA"/>
              </w:rPr>
              <w:t>Совєтская</w:t>
            </w:r>
            <w:proofErr w:type="spellEnd"/>
            <w:r w:rsidRPr="00C37523">
              <w:rPr>
                <w:rFonts w:ascii="Arial" w:eastAsia="Times New Roman" w:hAnsi="Arial" w:cs="Arial"/>
                <w:color w:val="000000"/>
                <w:sz w:val="16"/>
                <w:szCs w:val="16"/>
                <w:lang w:eastAsia="uk-UA"/>
              </w:rPr>
              <w:t>, 73, офіс 514, 515</w:t>
            </w:r>
          </w:p>
        </w:tc>
        <w:tc>
          <w:tcPr>
            <w:tcW w:w="1878"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 </w:t>
            </w:r>
          </w:p>
        </w:tc>
      </w:tr>
      <w:tr w:rsidR="00C37523" w:rsidRPr="00C37523" w:rsidTr="00C37523">
        <w:tc>
          <w:tcPr>
            <w:tcW w:w="1114"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32991088</w:t>
            </w:r>
          </w:p>
        </w:tc>
        <w:tc>
          <w:tcPr>
            <w:tcW w:w="242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ТОВ «УКРФІНКОМ»</w:t>
            </w:r>
          </w:p>
        </w:tc>
        <w:tc>
          <w:tcPr>
            <w:tcW w:w="1002"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402693</w:t>
            </w:r>
          </w:p>
        </w:tc>
        <w:tc>
          <w:tcPr>
            <w:tcW w:w="217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83048, м. Донецьк, вул. Челюскінців, 202-а</w:t>
            </w:r>
          </w:p>
        </w:tc>
        <w:tc>
          <w:tcPr>
            <w:tcW w:w="1878"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 </w:t>
            </w:r>
          </w:p>
        </w:tc>
      </w:tr>
      <w:tr w:rsidR="00C37523" w:rsidRPr="00C37523" w:rsidTr="00C37523">
        <w:tc>
          <w:tcPr>
            <w:tcW w:w="1114"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36736448</w:t>
            </w:r>
          </w:p>
        </w:tc>
        <w:tc>
          <w:tcPr>
            <w:tcW w:w="242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ТОВ «ФК «АВІСТА-БРОК»</w:t>
            </w:r>
          </w:p>
        </w:tc>
        <w:tc>
          <w:tcPr>
            <w:tcW w:w="1002"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402818</w:t>
            </w:r>
          </w:p>
        </w:tc>
        <w:tc>
          <w:tcPr>
            <w:tcW w:w="217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 xml:space="preserve">91053, м. Луганськ, вул. </w:t>
            </w:r>
            <w:proofErr w:type="spellStart"/>
            <w:r w:rsidRPr="00C37523">
              <w:rPr>
                <w:rFonts w:ascii="Arial" w:eastAsia="Times New Roman" w:hAnsi="Arial" w:cs="Arial"/>
                <w:color w:val="000000"/>
                <w:sz w:val="16"/>
                <w:szCs w:val="16"/>
                <w:lang w:eastAsia="uk-UA"/>
              </w:rPr>
              <w:t>Совєтская</w:t>
            </w:r>
            <w:proofErr w:type="spellEnd"/>
            <w:r w:rsidRPr="00C37523">
              <w:rPr>
                <w:rFonts w:ascii="Arial" w:eastAsia="Times New Roman" w:hAnsi="Arial" w:cs="Arial"/>
                <w:color w:val="000000"/>
                <w:sz w:val="16"/>
                <w:szCs w:val="16"/>
                <w:lang w:eastAsia="uk-UA"/>
              </w:rPr>
              <w:t xml:space="preserve">, 86-а, </w:t>
            </w:r>
            <w:proofErr w:type="spellStart"/>
            <w:r w:rsidRPr="00C37523">
              <w:rPr>
                <w:rFonts w:ascii="Arial" w:eastAsia="Times New Roman" w:hAnsi="Arial" w:cs="Arial"/>
                <w:color w:val="000000"/>
                <w:sz w:val="16"/>
                <w:szCs w:val="16"/>
                <w:lang w:eastAsia="uk-UA"/>
              </w:rPr>
              <w:t>оф</w:t>
            </w:r>
            <w:proofErr w:type="spellEnd"/>
            <w:r w:rsidRPr="00C37523">
              <w:rPr>
                <w:rFonts w:ascii="Arial" w:eastAsia="Times New Roman" w:hAnsi="Arial" w:cs="Arial"/>
                <w:color w:val="000000"/>
                <w:sz w:val="16"/>
                <w:szCs w:val="16"/>
                <w:lang w:eastAsia="uk-UA"/>
              </w:rPr>
              <w:t>. 1</w:t>
            </w:r>
          </w:p>
        </w:tc>
        <w:tc>
          <w:tcPr>
            <w:tcW w:w="1878"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 </w:t>
            </w:r>
          </w:p>
        </w:tc>
      </w:tr>
      <w:tr w:rsidR="00C37523" w:rsidRPr="00C37523" w:rsidTr="00C37523">
        <w:tc>
          <w:tcPr>
            <w:tcW w:w="1114"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35730225</w:t>
            </w:r>
          </w:p>
        </w:tc>
        <w:tc>
          <w:tcPr>
            <w:tcW w:w="242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ТОВ «УКРАЇНСЬКА ІНВЕСТИЦІЙНО - ДЕПОЗИТАРНА КОМПАНІЯ»</w:t>
            </w:r>
          </w:p>
        </w:tc>
        <w:tc>
          <w:tcPr>
            <w:tcW w:w="1002"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403519</w:t>
            </w:r>
          </w:p>
        </w:tc>
        <w:tc>
          <w:tcPr>
            <w:tcW w:w="2179"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83023, м. Донецьк, вул. Литвинова, 44</w:t>
            </w:r>
          </w:p>
        </w:tc>
        <w:tc>
          <w:tcPr>
            <w:tcW w:w="1878" w:type="dxa"/>
            <w:tcBorders>
              <w:top w:val="single" w:sz="4" w:space="0" w:color="9E9E9E"/>
              <w:left w:val="single" w:sz="4" w:space="0" w:color="9E9E9E"/>
              <w:bottom w:val="single" w:sz="4" w:space="0" w:color="9E9E9E"/>
              <w:right w:val="single" w:sz="4" w:space="0" w:color="9E9E9E"/>
            </w:tcBorders>
            <w:shd w:val="clear" w:color="auto" w:fill="E4E5E6"/>
            <w:tcMar>
              <w:top w:w="88" w:type="dxa"/>
              <w:left w:w="376" w:type="dxa"/>
              <w:bottom w:w="88" w:type="dxa"/>
              <w:right w:w="376" w:type="dxa"/>
            </w:tcMar>
            <w:vAlign w:val="center"/>
            <w:hideMark/>
          </w:tcPr>
          <w:p w:rsidR="00C37523" w:rsidRPr="00C37523" w:rsidRDefault="00C37523" w:rsidP="00C37523">
            <w:pPr>
              <w:spacing w:before="100" w:beforeAutospacing="1" w:after="100" w:afterAutospacing="1" w:line="240" w:lineRule="auto"/>
              <w:rPr>
                <w:rFonts w:ascii="Arial" w:eastAsia="Times New Roman" w:hAnsi="Arial" w:cs="Arial"/>
                <w:color w:val="000000"/>
                <w:sz w:val="16"/>
                <w:szCs w:val="16"/>
                <w:lang w:eastAsia="uk-UA"/>
              </w:rPr>
            </w:pPr>
            <w:r w:rsidRPr="00C37523">
              <w:rPr>
                <w:rFonts w:ascii="Arial" w:eastAsia="Times New Roman" w:hAnsi="Arial" w:cs="Arial"/>
                <w:color w:val="000000"/>
                <w:sz w:val="16"/>
                <w:szCs w:val="16"/>
                <w:lang w:eastAsia="uk-UA"/>
              </w:rPr>
              <w:t> </w:t>
            </w:r>
          </w:p>
        </w:tc>
      </w:tr>
    </w:tbl>
    <w:p w:rsidR="00C37523" w:rsidRDefault="00946F35" w:rsidP="00946F35">
      <w:pPr>
        <w:pStyle w:val="a6"/>
        <w:spacing w:before="100" w:beforeAutospacing="1" w:after="100" w:afterAutospacing="1" w:line="240" w:lineRule="auto"/>
        <w:ind w:left="390"/>
        <w:rPr>
          <w:rFonts w:ascii="Arial" w:eastAsia="Times New Roman" w:hAnsi="Arial" w:cs="Arial"/>
          <w:color w:val="000000"/>
          <w:sz w:val="16"/>
          <w:szCs w:val="16"/>
          <w:lang w:eastAsia="uk-UA"/>
        </w:rPr>
      </w:pPr>
      <w:r w:rsidRPr="00946F35">
        <w:rPr>
          <w:rFonts w:ascii="Arial" w:eastAsia="Times New Roman" w:hAnsi="Arial" w:cs="Arial"/>
          <w:color w:val="000000"/>
          <w:sz w:val="16"/>
          <w:szCs w:val="16"/>
          <w:lang w:eastAsia="uk-UA"/>
        </w:rPr>
        <w:t>*- за даними веб-сайту НКЦПФР</w:t>
      </w:r>
    </w:p>
    <w:p w:rsidR="00BC0B8F" w:rsidRDefault="00BC0B8F" w:rsidP="00946F35">
      <w:pPr>
        <w:pStyle w:val="a6"/>
        <w:spacing w:before="100" w:beforeAutospacing="1" w:after="100" w:afterAutospacing="1" w:line="240" w:lineRule="auto"/>
        <w:ind w:left="390"/>
        <w:rPr>
          <w:rFonts w:ascii="Arial" w:eastAsia="Times New Roman" w:hAnsi="Arial" w:cs="Arial"/>
          <w:color w:val="000000"/>
          <w:sz w:val="16"/>
          <w:szCs w:val="16"/>
          <w:lang w:eastAsia="uk-UA"/>
        </w:rPr>
      </w:pPr>
      <w:hyperlink r:id="rId5" w:history="1">
        <w:r w:rsidRPr="003A0D71">
          <w:rPr>
            <w:rStyle w:val="a5"/>
            <w:rFonts w:ascii="Arial" w:eastAsia="Times New Roman" w:hAnsi="Arial" w:cs="Arial"/>
            <w:sz w:val="16"/>
            <w:szCs w:val="16"/>
            <w:lang w:eastAsia="uk-UA"/>
          </w:rPr>
          <w:t>http://www.nssmc.gov.ua/press/news/nkcpfr_povidomlyaeh_pro_rezultati_roboti_shhodo_zapobigannya_porushen_prav_investoriv_ta_uniknennya_rizikiv_profesijjnikh_uchasnikiv</w:t>
        </w:r>
      </w:hyperlink>
    </w:p>
    <w:p w:rsidR="00BC0B8F" w:rsidRPr="00946F35" w:rsidRDefault="00BC0B8F" w:rsidP="00946F35">
      <w:pPr>
        <w:pStyle w:val="a6"/>
        <w:spacing w:before="100" w:beforeAutospacing="1" w:after="100" w:afterAutospacing="1" w:line="240" w:lineRule="auto"/>
        <w:ind w:left="390"/>
        <w:rPr>
          <w:rFonts w:ascii="Arial" w:eastAsia="Times New Roman" w:hAnsi="Arial" w:cs="Arial"/>
          <w:color w:val="000000"/>
          <w:sz w:val="16"/>
          <w:szCs w:val="16"/>
          <w:lang w:eastAsia="uk-UA"/>
        </w:rPr>
      </w:pPr>
    </w:p>
    <w:p w:rsidR="00C37523" w:rsidRPr="00BC0B8F" w:rsidRDefault="00C37523"/>
    <w:p w:rsidR="00C37523" w:rsidRPr="00BC0B8F" w:rsidRDefault="00C37523"/>
    <w:p w:rsidR="00C37523" w:rsidRPr="00BC0B8F" w:rsidRDefault="00C37523"/>
    <w:p w:rsidR="00C37523" w:rsidRPr="00BC0B8F" w:rsidRDefault="00C37523"/>
    <w:p w:rsidR="00C37523" w:rsidRPr="00BC0B8F" w:rsidRDefault="00C37523"/>
    <w:p w:rsidR="00C37523" w:rsidRPr="00BC0B8F" w:rsidRDefault="00C37523"/>
    <w:sectPr w:rsidR="00C37523" w:rsidRPr="00BC0B8F" w:rsidSect="0069656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27F0B"/>
    <w:multiLevelType w:val="hybridMultilevel"/>
    <w:tmpl w:val="7DC0C9BE"/>
    <w:lvl w:ilvl="0" w:tplc="FBFEDC2E">
      <w:numFmt w:val="bullet"/>
      <w:lvlText w:val=""/>
      <w:lvlJc w:val="left"/>
      <w:pPr>
        <w:ind w:left="390" w:hanging="360"/>
      </w:pPr>
      <w:rPr>
        <w:rFonts w:ascii="Symbol" w:eastAsia="Times New Roman" w:hAnsi="Symbol" w:cs="Arial" w:hint="default"/>
      </w:rPr>
    </w:lvl>
    <w:lvl w:ilvl="1" w:tplc="04220003" w:tentative="1">
      <w:start w:val="1"/>
      <w:numFmt w:val="bullet"/>
      <w:lvlText w:val="o"/>
      <w:lvlJc w:val="left"/>
      <w:pPr>
        <w:ind w:left="1110" w:hanging="360"/>
      </w:pPr>
      <w:rPr>
        <w:rFonts w:ascii="Courier New" w:hAnsi="Courier New" w:cs="Courier New" w:hint="default"/>
      </w:rPr>
    </w:lvl>
    <w:lvl w:ilvl="2" w:tplc="04220005" w:tentative="1">
      <w:start w:val="1"/>
      <w:numFmt w:val="bullet"/>
      <w:lvlText w:val=""/>
      <w:lvlJc w:val="left"/>
      <w:pPr>
        <w:ind w:left="1830" w:hanging="360"/>
      </w:pPr>
      <w:rPr>
        <w:rFonts w:ascii="Wingdings" w:hAnsi="Wingdings" w:hint="default"/>
      </w:rPr>
    </w:lvl>
    <w:lvl w:ilvl="3" w:tplc="04220001" w:tentative="1">
      <w:start w:val="1"/>
      <w:numFmt w:val="bullet"/>
      <w:lvlText w:val=""/>
      <w:lvlJc w:val="left"/>
      <w:pPr>
        <w:ind w:left="2550" w:hanging="360"/>
      </w:pPr>
      <w:rPr>
        <w:rFonts w:ascii="Symbol" w:hAnsi="Symbol" w:hint="default"/>
      </w:rPr>
    </w:lvl>
    <w:lvl w:ilvl="4" w:tplc="04220003" w:tentative="1">
      <w:start w:val="1"/>
      <w:numFmt w:val="bullet"/>
      <w:lvlText w:val="o"/>
      <w:lvlJc w:val="left"/>
      <w:pPr>
        <w:ind w:left="3270" w:hanging="360"/>
      </w:pPr>
      <w:rPr>
        <w:rFonts w:ascii="Courier New" w:hAnsi="Courier New" w:cs="Courier New" w:hint="default"/>
      </w:rPr>
    </w:lvl>
    <w:lvl w:ilvl="5" w:tplc="04220005" w:tentative="1">
      <w:start w:val="1"/>
      <w:numFmt w:val="bullet"/>
      <w:lvlText w:val=""/>
      <w:lvlJc w:val="left"/>
      <w:pPr>
        <w:ind w:left="3990" w:hanging="360"/>
      </w:pPr>
      <w:rPr>
        <w:rFonts w:ascii="Wingdings" w:hAnsi="Wingdings" w:hint="default"/>
      </w:rPr>
    </w:lvl>
    <w:lvl w:ilvl="6" w:tplc="04220001" w:tentative="1">
      <w:start w:val="1"/>
      <w:numFmt w:val="bullet"/>
      <w:lvlText w:val=""/>
      <w:lvlJc w:val="left"/>
      <w:pPr>
        <w:ind w:left="4710" w:hanging="360"/>
      </w:pPr>
      <w:rPr>
        <w:rFonts w:ascii="Symbol" w:hAnsi="Symbol" w:hint="default"/>
      </w:rPr>
    </w:lvl>
    <w:lvl w:ilvl="7" w:tplc="04220003" w:tentative="1">
      <w:start w:val="1"/>
      <w:numFmt w:val="bullet"/>
      <w:lvlText w:val="o"/>
      <w:lvlJc w:val="left"/>
      <w:pPr>
        <w:ind w:left="5430" w:hanging="360"/>
      </w:pPr>
      <w:rPr>
        <w:rFonts w:ascii="Courier New" w:hAnsi="Courier New" w:cs="Courier New" w:hint="default"/>
      </w:rPr>
    </w:lvl>
    <w:lvl w:ilvl="8" w:tplc="04220005" w:tentative="1">
      <w:start w:val="1"/>
      <w:numFmt w:val="bullet"/>
      <w:lvlText w:val=""/>
      <w:lvlJc w:val="left"/>
      <w:pPr>
        <w:ind w:left="615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C37523"/>
    <w:rsid w:val="00696563"/>
    <w:rsid w:val="00946F35"/>
    <w:rsid w:val="00A27500"/>
    <w:rsid w:val="00A531B8"/>
    <w:rsid w:val="00B723ED"/>
    <w:rsid w:val="00BC0B8F"/>
    <w:rsid w:val="00C37523"/>
    <w:rsid w:val="00F8664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5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3752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C37523"/>
    <w:rPr>
      <w:b/>
      <w:bCs/>
    </w:rPr>
  </w:style>
  <w:style w:type="character" w:styleId="a5">
    <w:name w:val="Hyperlink"/>
    <w:basedOn w:val="a0"/>
    <w:uiPriority w:val="99"/>
    <w:unhideWhenUsed/>
    <w:rsid w:val="00C37523"/>
    <w:rPr>
      <w:strike w:val="0"/>
      <w:dstrike w:val="0"/>
      <w:color w:val="3C71B7"/>
      <w:u w:val="none"/>
      <w:effect w:val="none"/>
    </w:rPr>
  </w:style>
  <w:style w:type="paragraph" w:styleId="a6">
    <w:name w:val="List Paragraph"/>
    <w:basedOn w:val="a"/>
    <w:uiPriority w:val="34"/>
    <w:qFormat/>
    <w:rsid w:val="00946F35"/>
    <w:pPr>
      <w:ind w:left="720"/>
      <w:contextualSpacing/>
    </w:pPr>
  </w:style>
</w:styles>
</file>

<file path=word/webSettings.xml><?xml version="1.0" encoding="utf-8"?>
<w:webSettings xmlns:r="http://schemas.openxmlformats.org/officeDocument/2006/relationships" xmlns:w="http://schemas.openxmlformats.org/wordprocessingml/2006/main">
  <w:divs>
    <w:div w:id="381634240">
      <w:bodyDiv w:val="1"/>
      <w:marLeft w:val="0"/>
      <w:marRight w:val="0"/>
      <w:marTop w:val="0"/>
      <w:marBottom w:val="0"/>
      <w:divBdr>
        <w:top w:val="none" w:sz="0" w:space="0" w:color="auto"/>
        <w:left w:val="none" w:sz="0" w:space="0" w:color="auto"/>
        <w:bottom w:val="none" w:sz="0" w:space="0" w:color="auto"/>
        <w:right w:val="none" w:sz="0" w:space="0" w:color="auto"/>
      </w:divBdr>
      <w:divsChild>
        <w:div w:id="1516310263">
          <w:marLeft w:val="0"/>
          <w:marRight w:val="0"/>
          <w:marTop w:val="0"/>
          <w:marBottom w:val="0"/>
          <w:divBdr>
            <w:top w:val="none" w:sz="0" w:space="0" w:color="auto"/>
            <w:left w:val="none" w:sz="0" w:space="0" w:color="auto"/>
            <w:bottom w:val="none" w:sz="0" w:space="0" w:color="auto"/>
            <w:right w:val="none" w:sz="0" w:space="0" w:color="auto"/>
          </w:divBdr>
          <w:divsChild>
            <w:div w:id="2105225996">
              <w:marLeft w:val="0"/>
              <w:marRight w:val="0"/>
              <w:marTop w:val="0"/>
              <w:marBottom w:val="0"/>
              <w:divBdr>
                <w:top w:val="none" w:sz="0" w:space="0" w:color="auto"/>
                <w:left w:val="none" w:sz="0" w:space="0" w:color="auto"/>
                <w:bottom w:val="none" w:sz="0" w:space="0" w:color="auto"/>
                <w:right w:val="none" w:sz="0" w:space="0" w:color="auto"/>
              </w:divBdr>
              <w:divsChild>
                <w:div w:id="1313825342">
                  <w:marLeft w:val="-13"/>
                  <w:marRight w:val="0"/>
                  <w:marTop w:val="0"/>
                  <w:marBottom w:val="0"/>
                  <w:divBdr>
                    <w:top w:val="none" w:sz="0" w:space="0" w:color="auto"/>
                    <w:left w:val="none" w:sz="0" w:space="0" w:color="auto"/>
                    <w:bottom w:val="none" w:sz="0" w:space="0" w:color="auto"/>
                    <w:right w:val="none" w:sz="0" w:space="0" w:color="auto"/>
                  </w:divBdr>
                  <w:divsChild>
                    <w:div w:id="1908343099">
                      <w:marLeft w:val="0"/>
                      <w:marRight w:val="-100"/>
                      <w:marTop w:val="0"/>
                      <w:marBottom w:val="0"/>
                      <w:divBdr>
                        <w:top w:val="single" w:sz="4" w:space="0" w:color="BFBFBF"/>
                        <w:left w:val="single" w:sz="4" w:space="0" w:color="BFBFBF"/>
                        <w:bottom w:val="single" w:sz="4" w:space="0" w:color="BFBFBF"/>
                        <w:right w:val="single" w:sz="4" w:space="0" w:color="BFBFBF"/>
                      </w:divBdr>
                      <w:divsChild>
                        <w:div w:id="2130511298">
                          <w:marLeft w:val="0"/>
                          <w:marRight w:val="-9592"/>
                          <w:marTop w:val="0"/>
                          <w:marBottom w:val="0"/>
                          <w:divBdr>
                            <w:top w:val="none" w:sz="0" w:space="0" w:color="auto"/>
                            <w:left w:val="none" w:sz="0" w:space="0" w:color="auto"/>
                            <w:bottom w:val="none" w:sz="0" w:space="0" w:color="auto"/>
                            <w:right w:val="none" w:sz="0" w:space="0" w:color="auto"/>
                          </w:divBdr>
                          <w:divsChild>
                            <w:div w:id="648829361">
                              <w:marLeft w:val="0"/>
                              <w:marRight w:val="100"/>
                              <w:marTop w:val="0"/>
                              <w:marBottom w:val="0"/>
                              <w:divBdr>
                                <w:top w:val="single" w:sz="4" w:space="9" w:color="BFBFBF"/>
                                <w:left w:val="single" w:sz="4" w:space="16" w:color="BFBFBF"/>
                                <w:bottom w:val="single" w:sz="4" w:space="9" w:color="BFBFBF"/>
                                <w:right w:val="single" w:sz="4" w:space="16" w:color="BFBFBF"/>
                              </w:divBdr>
                              <w:divsChild>
                                <w:div w:id="139454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8575692">
      <w:bodyDiv w:val="1"/>
      <w:marLeft w:val="0"/>
      <w:marRight w:val="0"/>
      <w:marTop w:val="0"/>
      <w:marBottom w:val="0"/>
      <w:divBdr>
        <w:top w:val="none" w:sz="0" w:space="0" w:color="auto"/>
        <w:left w:val="none" w:sz="0" w:space="0" w:color="auto"/>
        <w:bottom w:val="none" w:sz="0" w:space="0" w:color="auto"/>
        <w:right w:val="none" w:sz="0" w:space="0" w:color="auto"/>
      </w:divBdr>
      <w:divsChild>
        <w:div w:id="998653435">
          <w:marLeft w:val="0"/>
          <w:marRight w:val="0"/>
          <w:marTop w:val="0"/>
          <w:marBottom w:val="0"/>
          <w:divBdr>
            <w:top w:val="none" w:sz="0" w:space="0" w:color="auto"/>
            <w:left w:val="none" w:sz="0" w:space="0" w:color="auto"/>
            <w:bottom w:val="none" w:sz="0" w:space="0" w:color="auto"/>
            <w:right w:val="none" w:sz="0" w:space="0" w:color="auto"/>
          </w:divBdr>
          <w:divsChild>
            <w:div w:id="251744900">
              <w:marLeft w:val="0"/>
              <w:marRight w:val="0"/>
              <w:marTop w:val="0"/>
              <w:marBottom w:val="0"/>
              <w:divBdr>
                <w:top w:val="none" w:sz="0" w:space="0" w:color="auto"/>
                <w:left w:val="none" w:sz="0" w:space="0" w:color="auto"/>
                <w:bottom w:val="none" w:sz="0" w:space="0" w:color="auto"/>
                <w:right w:val="none" w:sz="0" w:space="0" w:color="auto"/>
              </w:divBdr>
              <w:divsChild>
                <w:div w:id="1631278957">
                  <w:marLeft w:val="-13"/>
                  <w:marRight w:val="0"/>
                  <w:marTop w:val="0"/>
                  <w:marBottom w:val="0"/>
                  <w:divBdr>
                    <w:top w:val="none" w:sz="0" w:space="0" w:color="auto"/>
                    <w:left w:val="none" w:sz="0" w:space="0" w:color="auto"/>
                    <w:bottom w:val="none" w:sz="0" w:space="0" w:color="auto"/>
                    <w:right w:val="none" w:sz="0" w:space="0" w:color="auto"/>
                  </w:divBdr>
                  <w:divsChild>
                    <w:div w:id="2023972256">
                      <w:marLeft w:val="0"/>
                      <w:marRight w:val="-100"/>
                      <w:marTop w:val="0"/>
                      <w:marBottom w:val="0"/>
                      <w:divBdr>
                        <w:top w:val="single" w:sz="4" w:space="0" w:color="BFBFBF"/>
                        <w:left w:val="single" w:sz="4" w:space="0" w:color="BFBFBF"/>
                        <w:bottom w:val="single" w:sz="4" w:space="0" w:color="BFBFBF"/>
                        <w:right w:val="single" w:sz="4" w:space="0" w:color="BFBFBF"/>
                      </w:divBdr>
                      <w:divsChild>
                        <w:div w:id="356154096">
                          <w:marLeft w:val="0"/>
                          <w:marRight w:val="-9592"/>
                          <w:marTop w:val="0"/>
                          <w:marBottom w:val="0"/>
                          <w:divBdr>
                            <w:top w:val="none" w:sz="0" w:space="0" w:color="auto"/>
                            <w:left w:val="none" w:sz="0" w:space="0" w:color="auto"/>
                            <w:bottom w:val="none" w:sz="0" w:space="0" w:color="auto"/>
                            <w:right w:val="none" w:sz="0" w:space="0" w:color="auto"/>
                          </w:divBdr>
                          <w:divsChild>
                            <w:div w:id="564223447">
                              <w:marLeft w:val="0"/>
                              <w:marRight w:val="100"/>
                              <w:marTop w:val="0"/>
                              <w:marBottom w:val="0"/>
                              <w:divBdr>
                                <w:top w:val="single" w:sz="4" w:space="9" w:color="BFBFBF"/>
                                <w:left w:val="single" w:sz="4" w:space="16" w:color="BFBFBF"/>
                                <w:bottom w:val="single" w:sz="4" w:space="9" w:color="BFBFBF"/>
                                <w:right w:val="single" w:sz="4" w:space="16" w:color="BFBFBF"/>
                              </w:divBdr>
                              <w:divsChild>
                                <w:div w:id="134663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ssmc.gov.ua/press/news/nkcpfr_povidomlyaeh_pro_rezultati_roboti_shhodo_zapobigannya_porushen_prav_investoriv_ta_uniknennya_rizikiv_profesijjnikh_uchasnikiv"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1162</Words>
  <Characters>663</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Гончарук Наталья</dc:creator>
  <cp:lastModifiedBy>Гончарук Наталья</cp:lastModifiedBy>
  <cp:revision>3</cp:revision>
  <dcterms:created xsi:type="dcterms:W3CDTF">2015-01-26T11:00:00Z</dcterms:created>
  <dcterms:modified xsi:type="dcterms:W3CDTF">2015-01-26T14:50:00Z</dcterms:modified>
</cp:coreProperties>
</file>